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B5" w:rsidRDefault="00D047B5" w:rsidP="00857E72">
      <w:pPr>
        <w:widowControl/>
        <w:spacing w:line="320" w:lineRule="exact"/>
        <w:jc w:val="center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</w:pPr>
      <w:r w:rsidRPr="00D047B5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  <w:t>加班輪班間隔例假備查</w:t>
      </w:r>
    </w:p>
    <w:p w:rsidR="00857E72" w:rsidRPr="00D047B5" w:rsidRDefault="00857E72" w:rsidP="00857E72">
      <w:pPr>
        <w:widowControl/>
        <w:spacing w:line="320" w:lineRule="exact"/>
        <w:jc w:val="right"/>
        <w:rPr>
          <w:rFonts w:ascii="標楷體" w:eastAsia="標楷體" w:hAnsi="標楷體" w:cs="Arial" w:hint="eastAsia"/>
          <w:kern w:val="0"/>
          <w:sz w:val="18"/>
          <w:szCs w:val="18"/>
        </w:rPr>
      </w:pPr>
      <w:r w:rsidRPr="00857E72">
        <w:rPr>
          <w:rFonts w:ascii="標楷體" w:eastAsia="標楷體" w:hAnsi="標楷體" w:cs="Arial" w:hint="eastAsia"/>
          <w:kern w:val="0"/>
          <w:sz w:val="18"/>
          <w:szCs w:val="18"/>
        </w:rPr>
        <w:t>刊登日期:107-03-01</w:t>
      </w:r>
    </w:p>
    <w:p w:rsidR="00D047B5" w:rsidRPr="00D047B5" w:rsidRDefault="00D047B5" w:rsidP="00D047B5">
      <w:pPr>
        <w:widowControl/>
        <w:numPr>
          <w:ilvl w:val="0"/>
          <w:numId w:val="2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發布科室：勞動基準科</w:t>
      </w:r>
    </w:p>
    <w:p w:rsidR="00D047B5" w:rsidRPr="00D047B5" w:rsidRDefault="00D047B5" w:rsidP="00D047B5">
      <w:pPr>
        <w:widowControl/>
        <w:numPr>
          <w:ilvl w:val="0"/>
          <w:numId w:val="3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勞動基準法第32條加班時數上限調整</w:t>
      </w:r>
    </w:p>
    <w:p w:rsidR="00D047B5" w:rsidRPr="00D047B5" w:rsidRDefault="00D047B5" w:rsidP="00D047B5">
      <w:pPr>
        <w:widowControl/>
        <w:numPr>
          <w:ilvl w:val="0"/>
          <w:numId w:val="4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適用對象：適用勞動基準法行業之事業單位</w:t>
      </w:r>
    </w:p>
    <w:p w:rsidR="00D047B5" w:rsidRPr="00D047B5" w:rsidRDefault="00D047B5" w:rsidP="00D047B5">
      <w:pPr>
        <w:widowControl/>
        <w:numPr>
          <w:ilvl w:val="0"/>
          <w:numId w:val="4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規定：</w:t>
      </w:r>
    </w:p>
    <w:p w:rsidR="00D047B5" w:rsidRPr="00D047B5" w:rsidRDefault="00D047B5" w:rsidP="00D047B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延長工作時間，一個月不得超過46小時，但雇主經工會同意，如事業單位無工會者，經勞資會議同意後，延長之工作時間，一個月不得超過54小時，每3個月不得超過138小時。且每3個月，以每連續3個月為一週期，依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曆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計算，以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勞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雇雙方約定之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起迄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日期認定之。（勞動基準法第32條第2項、施行細則第22條）</w:t>
      </w:r>
    </w:p>
    <w:p w:rsidR="00D047B5" w:rsidRPr="00D047B5" w:rsidRDefault="00D047B5" w:rsidP="00D047B5">
      <w:pPr>
        <w:widowControl/>
        <w:numPr>
          <w:ilvl w:val="0"/>
          <w:numId w:val="5"/>
        </w:numPr>
        <w:spacing w:beforeLines="50" w:before="180"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勞動基準法第34條輪班間隔調整</w:t>
      </w:r>
    </w:p>
    <w:p w:rsidR="00D047B5" w:rsidRPr="00D047B5" w:rsidRDefault="00D047B5" w:rsidP="00D047B5">
      <w:pPr>
        <w:widowControl/>
        <w:numPr>
          <w:ilvl w:val="0"/>
          <w:numId w:val="6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適用對象：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勞動基準法第34條輪班間隔調整適用對象"/>
      </w:tblPr>
      <w:tblGrid>
        <w:gridCol w:w="6521"/>
        <w:gridCol w:w="2410"/>
      </w:tblGrid>
      <w:tr w:rsidR="00D047B5" w:rsidRPr="00D047B5" w:rsidTr="00D047B5">
        <w:trPr>
          <w:jc w:val="center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勞動基準法第34條輪班間隔調整適用對象</w:t>
            </w:r>
          </w:p>
        </w:tc>
      </w:tr>
      <w:tr w:rsidR="00D047B5" w:rsidRPr="00D047B5" w:rsidTr="00D047B5">
        <w:trPr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適用範圍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適用期間</w:t>
            </w:r>
          </w:p>
        </w:tc>
      </w:tr>
      <w:tr w:rsidR="00D047B5" w:rsidRPr="00D047B5" w:rsidTr="00D047B5">
        <w:trPr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交通部臺灣鐵路管理局之乘</w:t>
            </w: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人員</w:t>
            </w: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proofErr w:type="gramEnd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機車助理、司機員、</w:t>
            </w:r>
          </w:p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機車長、整備員、技術助理、助理工務員、及工務員；</w:t>
            </w:r>
          </w:p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列車長、車長及站</w:t>
            </w: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佐理</w:t>
            </w: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自107年3月1日至108年12月31日</w:t>
            </w:r>
          </w:p>
        </w:tc>
      </w:tr>
      <w:tr w:rsidR="00D047B5" w:rsidRPr="00D047B5" w:rsidTr="00D047B5">
        <w:trPr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經濟部所屬台灣電力股份有限公司、台灣中油股份有限公司及台灣糖業股份有限公司之輪班人員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自107年3月1日至108年7月31日</w:t>
            </w:r>
          </w:p>
        </w:tc>
      </w:tr>
      <w:tr w:rsidR="00D047B5" w:rsidRPr="00D047B5" w:rsidTr="00D047B5">
        <w:trPr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經濟部所屬台灣中油股份有限公司及台灣自來水股份有限公司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天災、事變或突發</w:t>
            </w:r>
          </w:p>
          <w:p w:rsidR="00D047B5" w:rsidRPr="00D047B5" w:rsidRDefault="00D047B5" w:rsidP="00D047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事件之處理期間</w:t>
            </w:r>
          </w:p>
        </w:tc>
      </w:tr>
    </w:tbl>
    <w:p w:rsidR="00D047B5" w:rsidRPr="00D047B5" w:rsidRDefault="00D047B5" w:rsidP="00D047B5">
      <w:pPr>
        <w:widowControl/>
        <w:numPr>
          <w:ilvl w:val="0"/>
          <w:numId w:val="7"/>
        </w:numPr>
        <w:spacing w:beforeLines="50" w:before="180"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規定：</w:t>
      </w:r>
    </w:p>
    <w:p w:rsidR="00D047B5" w:rsidRPr="00D047B5" w:rsidRDefault="00D047B5" w:rsidP="00D047B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勞工工作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採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輪班制者，其工作班次，每週更換一次。但經勞工同意者不在此限。更換班次時，至少應有連續11小時之休息時間。但因工作特性或特殊原因，經中央目的事業主管機關商請中央主管機關公告者，得變更休息時間不少於連續8小時。（勞動基準法第34條第2項）</w:t>
      </w:r>
    </w:p>
    <w:p w:rsidR="00D047B5" w:rsidRPr="00D047B5" w:rsidRDefault="00D047B5" w:rsidP="00D047B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br w:type="page"/>
      </w:r>
    </w:p>
    <w:p w:rsidR="00D047B5" w:rsidRPr="00D047B5" w:rsidRDefault="00D047B5" w:rsidP="00D047B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lastRenderedPageBreak/>
        <w:t>勞動基準法第36條例假調整</w:t>
      </w:r>
    </w:p>
    <w:p w:rsidR="00D047B5" w:rsidRPr="00D047B5" w:rsidRDefault="00D047B5" w:rsidP="00D047B5">
      <w:pPr>
        <w:widowControl/>
        <w:numPr>
          <w:ilvl w:val="0"/>
          <w:numId w:val="9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適用對象：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勞動基準法第36條例假調整適用對象"/>
      </w:tblPr>
      <w:tblGrid>
        <w:gridCol w:w="1134"/>
        <w:gridCol w:w="4395"/>
        <w:gridCol w:w="3969"/>
      </w:tblGrid>
      <w:tr w:rsidR="00D047B5" w:rsidRPr="00D047B5" w:rsidTr="00D047B5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勞動基準法第36條例假調整適用對象</w:t>
            </w:r>
          </w:p>
        </w:tc>
      </w:tr>
      <w:tr w:rsidR="00D047B5" w:rsidRPr="00D047B5" w:rsidTr="00D047B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特殊型態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得調整之條件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行業</w:t>
            </w:r>
          </w:p>
        </w:tc>
      </w:tr>
      <w:tr w:rsidR="00D047B5" w:rsidRPr="00D047B5" w:rsidTr="00D047B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（一）</w:t>
            </w:r>
          </w:p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時間特殊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配合年節、紀念日、勞動節日及其他由中央主管機關規定應放假之日，為因應公眾之生活便利所需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0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食品及飲料製造業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0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燃料批發業及其他燃料零售業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0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石油煉製業</w:t>
            </w:r>
          </w:p>
        </w:tc>
      </w:tr>
      <w:tr w:rsidR="00D047B5" w:rsidRPr="00D047B5" w:rsidTr="00D047B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（二）</w:t>
            </w:r>
          </w:p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地點特殊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工作之地點具特殊性（如海上、高山、隧道或偏遠地區等），其交通相當耗時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1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水電燃氣業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1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石油煉製業</w:t>
            </w:r>
          </w:p>
        </w:tc>
      </w:tr>
      <w:tr w:rsidR="00D047B5" w:rsidRPr="00D047B5" w:rsidTr="00D047B5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（三）</w:t>
            </w:r>
          </w:p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性質特殊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勞工於國外、船艦、航空器、圍場或歲修執行職務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2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製造業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2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水電燃氣業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2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藥類、化妝品零售業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2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旅行業</w:t>
            </w:r>
          </w:p>
        </w:tc>
      </w:tr>
      <w:tr w:rsidR="00D047B5" w:rsidRPr="00D047B5" w:rsidTr="00D047B5"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為因應天候、施工</w:t>
            </w: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工</w:t>
            </w:r>
            <w:proofErr w:type="gramEnd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序或作業期程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3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石油煉製業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3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預拌混凝土製造業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3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鋼鐵基本工業</w:t>
            </w:r>
          </w:p>
        </w:tc>
      </w:tr>
      <w:tr w:rsidR="00D047B5" w:rsidRPr="00D047B5" w:rsidTr="00D047B5"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為因應天候、海象或船舶運作業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4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水電燃氣業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4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石油煉製業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4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冷凍食品製造業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4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製冰業</w:t>
            </w:r>
            <w:proofErr w:type="gramEnd"/>
          </w:p>
        </w:tc>
      </w:tr>
      <w:tr w:rsidR="00D047B5" w:rsidRPr="00D047B5" w:rsidTr="00D047B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（四）</w:t>
            </w:r>
          </w:p>
          <w:p w:rsidR="00D047B5" w:rsidRPr="00D047B5" w:rsidRDefault="00D047B5" w:rsidP="001150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狀況特殊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為辦理非經常性之活動或會議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7B5" w:rsidRPr="00D047B5" w:rsidRDefault="00D047B5" w:rsidP="001150C3">
            <w:pPr>
              <w:widowControl/>
              <w:numPr>
                <w:ilvl w:val="0"/>
                <w:numId w:val="15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製造業</w:t>
            </w:r>
          </w:p>
          <w:p w:rsidR="00D047B5" w:rsidRPr="00D047B5" w:rsidRDefault="00D047B5" w:rsidP="001150C3">
            <w:pPr>
              <w:widowControl/>
              <w:numPr>
                <w:ilvl w:val="0"/>
                <w:numId w:val="15"/>
              </w:numPr>
              <w:spacing w:line="280" w:lineRule="exact"/>
              <w:ind w:left="52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47B5">
              <w:rPr>
                <w:rFonts w:ascii="標楷體" w:eastAsia="標楷體" w:hAnsi="標楷體" w:cs="新細明體"/>
                <w:kern w:val="0"/>
                <w:szCs w:val="24"/>
              </w:rPr>
              <w:t>設計業</w:t>
            </w:r>
          </w:p>
        </w:tc>
      </w:tr>
    </w:tbl>
    <w:p w:rsidR="00D047B5" w:rsidRPr="00D047B5" w:rsidRDefault="00D047B5" w:rsidP="00D047B5">
      <w:pPr>
        <w:widowControl/>
        <w:numPr>
          <w:ilvl w:val="0"/>
          <w:numId w:val="16"/>
        </w:numPr>
        <w:spacing w:beforeLines="50" w:before="180"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規定：</w:t>
      </w:r>
    </w:p>
    <w:p w:rsidR="00D047B5" w:rsidRPr="00D047B5" w:rsidRDefault="00D047B5" w:rsidP="00D047B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勞工每7日中應有2日之休息，其中1日為例假，1日為休息日。經中央目的事業主管機關同意，且經中央主管機關指定之行業，雇主得將例假於每7日之週期內調整之。（勞動基準法第36條第4項）</w:t>
      </w:r>
    </w:p>
    <w:p w:rsidR="00D047B5" w:rsidRPr="00D047B5" w:rsidRDefault="00D047B5" w:rsidP="00D047B5">
      <w:pPr>
        <w:widowControl/>
        <w:numPr>
          <w:ilvl w:val="0"/>
          <w:numId w:val="17"/>
        </w:numPr>
        <w:spacing w:beforeLines="50" w:before="180"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程序</w:t>
      </w:r>
    </w:p>
    <w:p w:rsidR="00D047B5" w:rsidRPr="00D047B5" w:rsidRDefault="00D047B5" w:rsidP="00D047B5">
      <w:pPr>
        <w:widowControl/>
        <w:numPr>
          <w:ilvl w:val="0"/>
          <w:numId w:val="18"/>
        </w:numPr>
        <w:spacing w:line="320" w:lineRule="exact"/>
        <w:ind w:left="600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事業單位如欲實施上述彈性調整制度，皆需經工會，如無工會經召開勞資會議同意，且應就實施之對象、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起迄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時間明確</w:t>
      </w:r>
      <w:bookmarkStart w:id="0" w:name="_GoBack"/>
      <w:bookmarkEnd w:id="0"/>
      <w:r w:rsidRPr="00D047B5">
        <w:rPr>
          <w:rFonts w:ascii="標楷體" w:eastAsia="標楷體" w:hAnsi="標楷體" w:cs="Arial"/>
          <w:kern w:val="0"/>
          <w:szCs w:val="24"/>
        </w:rPr>
        <w:t>約定，並公告周知。（勞動基準法第勞動基準法第32條第2項、第34條第3項、第36條第5項，及施行細則第20條）</w:t>
      </w:r>
    </w:p>
    <w:p w:rsidR="00D047B5" w:rsidRPr="00D047B5" w:rsidRDefault="00D047B5" w:rsidP="00D047B5">
      <w:pPr>
        <w:widowControl/>
        <w:numPr>
          <w:ilvl w:val="0"/>
          <w:numId w:val="18"/>
        </w:numPr>
        <w:spacing w:line="320" w:lineRule="exact"/>
        <w:ind w:left="600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如僱用勞工人數達30人以上，最晚應於實施前1日報事業單位事務所、公務所所在地之地方主管機關備查。（勞動基準法第勞動基準法第32條第3項、第34條第3項、第36條第5項，及施行細則第22條之1）</w:t>
      </w:r>
    </w:p>
    <w:p w:rsidR="00D047B5" w:rsidRPr="00D047B5" w:rsidRDefault="00D047B5" w:rsidP="00D047B5">
      <w:pPr>
        <w:widowControl/>
        <w:numPr>
          <w:ilvl w:val="0"/>
          <w:numId w:val="18"/>
        </w:numPr>
        <w:spacing w:line="320" w:lineRule="exact"/>
        <w:ind w:left="600"/>
        <w:rPr>
          <w:rFonts w:ascii="標楷體" w:eastAsia="標楷體" w:hAnsi="標楷體" w:cs="Arial" w:hint="eastAsia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勞資雙方於約定實施時，除應完備勞資會議設立及召開程序外，應視事業單位內之工作型態、業務週期性，以勞工之身心健康維護及必要性為前提妥為約定，切勿濫用制度。 </w:t>
      </w:r>
    </w:p>
    <w:p w:rsidR="00D047B5" w:rsidRPr="00D047B5" w:rsidRDefault="00D047B5" w:rsidP="001150C3">
      <w:pPr>
        <w:widowControl/>
        <w:numPr>
          <w:ilvl w:val="0"/>
          <w:numId w:val="19"/>
        </w:numPr>
        <w:spacing w:beforeLines="50" w:before="180"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勞動部-加班輪班間隔及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例假線上備查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系統</w:t>
      </w:r>
    </w:p>
    <w:p w:rsidR="00D047B5" w:rsidRPr="00D047B5" w:rsidRDefault="00D047B5" w:rsidP="00D047B5">
      <w:pPr>
        <w:widowControl/>
        <w:numPr>
          <w:ilvl w:val="0"/>
          <w:numId w:val="20"/>
        </w:numPr>
        <w:spacing w:line="320" w:lineRule="exact"/>
        <w:ind w:left="600"/>
        <w:rPr>
          <w:rFonts w:ascii="標楷體" w:eastAsia="標楷體" w:hAnsi="標楷體" w:cs="Arial"/>
          <w:kern w:val="0"/>
          <w:szCs w:val="24"/>
        </w:rPr>
      </w:pP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勞動部已建置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「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線上備查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系統」，請事業單位利用系統</w:t>
      </w:r>
      <w:proofErr w:type="gramStart"/>
      <w:r w:rsidRPr="00D047B5">
        <w:rPr>
          <w:rFonts w:ascii="標楷體" w:eastAsia="標楷體" w:hAnsi="標楷體" w:cs="Arial"/>
          <w:kern w:val="0"/>
          <w:szCs w:val="24"/>
        </w:rPr>
        <w:t>進行線上備查</w:t>
      </w:r>
      <w:proofErr w:type="gramEnd"/>
      <w:r w:rsidRPr="00D047B5">
        <w:rPr>
          <w:rFonts w:ascii="標楷體" w:eastAsia="標楷體" w:hAnsi="標楷體" w:cs="Arial"/>
          <w:kern w:val="0"/>
          <w:szCs w:val="24"/>
        </w:rPr>
        <w:t>，更為便捷。</w:t>
      </w:r>
    </w:p>
    <w:p w:rsidR="00D047B5" w:rsidRPr="00D047B5" w:rsidRDefault="00D047B5" w:rsidP="00D047B5">
      <w:pPr>
        <w:widowControl/>
        <w:numPr>
          <w:ilvl w:val="0"/>
          <w:numId w:val="20"/>
        </w:numPr>
        <w:spacing w:line="320" w:lineRule="exact"/>
        <w:ind w:left="600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網址：</w:t>
      </w:r>
      <w:hyperlink r:id="rId6" w:tooltip="勞動部線上備查系統" w:history="1">
        <w:r w:rsidRPr="00D047B5">
          <w:rPr>
            <w:rFonts w:ascii="標楷體" w:eastAsia="標楷體" w:hAnsi="標楷體" w:cs="Arial"/>
            <w:color w:val="0000FF"/>
            <w:kern w:val="0"/>
            <w:szCs w:val="24"/>
            <w:u w:val="single"/>
          </w:rPr>
          <w:t>https://labcond.mol.gov.tw</w:t>
        </w:r>
      </w:hyperlink>
      <w:r w:rsidRPr="00D047B5">
        <w:rPr>
          <w:rFonts w:ascii="標楷體" w:eastAsia="標楷體" w:hAnsi="標楷體" w:cs="Arial"/>
          <w:kern w:val="0"/>
          <w:szCs w:val="24"/>
        </w:rPr>
        <w:br/>
      </w:r>
      <w:r w:rsidRPr="00D047B5">
        <w:rPr>
          <w:rFonts w:ascii="標楷體" w:eastAsia="標楷體" w:hAnsi="標楷體" w:cs="微軟正黑體" w:hint="eastAsia"/>
          <w:kern w:val="0"/>
          <w:sz w:val="22"/>
        </w:rPr>
        <w:t>◆</w:t>
      </w:r>
      <w:r w:rsidRPr="00D047B5">
        <w:rPr>
          <w:rFonts w:ascii="標楷體" w:eastAsia="標楷體" w:hAnsi="標楷體" w:cs="Arial"/>
          <w:kern w:val="0"/>
          <w:sz w:val="22"/>
        </w:rPr>
        <w:t>針對「勞資會議」有任何疑問，請洽本局勞資關係科</w:t>
      </w:r>
      <w:r w:rsidRPr="00D047B5">
        <w:rPr>
          <w:rFonts w:ascii="標楷體" w:eastAsia="標楷體" w:hAnsi="標楷體" w:cs="Arial"/>
          <w:kern w:val="0"/>
          <w:sz w:val="22"/>
        </w:rPr>
        <w:br/>
      </w:r>
      <w:r w:rsidRPr="001150C3">
        <w:rPr>
          <w:rFonts w:ascii="標楷體" w:eastAsia="標楷體" w:hAnsi="標楷體" w:cs="Arial" w:hint="eastAsia"/>
          <w:kern w:val="0"/>
          <w:sz w:val="22"/>
        </w:rPr>
        <w:t xml:space="preserve">  </w:t>
      </w:r>
      <w:r w:rsidRPr="00D047B5">
        <w:rPr>
          <w:rFonts w:ascii="標楷體" w:eastAsia="標楷體" w:hAnsi="標楷體" w:cs="Arial"/>
          <w:kern w:val="0"/>
          <w:sz w:val="22"/>
        </w:rPr>
        <w:t>電話：市民熱線1999 (外縣市02-2720-8889)轉分機7013、7031、</w:t>
      </w:r>
      <w:r w:rsidR="001150C3" w:rsidRPr="001150C3">
        <w:rPr>
          <w:rFonts w:ascii="標楷體" w:eastAsia="標楷體" w:hAnsi="標楷體" w:cs="Arial"/>
          <w:kern w:val="0"/>
          <w:sz w:val="22"/>
        </w:rPr>
        <w:t>7033</w:t>
      </w:r>
      <w:r w:rsidRPr="00D047B5">
        <w:rPr>
          <w:rFonts w:ascii="標楷體" w:eastAsia="標楷體" w:hAnsi="標楷體" w:cs="Arial"/>
          <w:kern w:val="0"/>
          <w:sz w:val="22"/>
        </w:rPr>
        <w:br/>
      </w:r>
      <w:r w:rsidRPr="00D047B5">
        <w:rPr>
          <w:rFonts w:ascii="標楷體" w:eastAsia="標楷體" w:hAnsi="標楷體" w:cs="微軟正黑體" w:hint="eastAsia"/>
          <w:kern w:val="0"/>
          <w:sz w:val="22"/>
        </w:rPr>
        <w:t>◆</w:t>
      </w:r>
      <w:r w:rsidRPr="00D047B5">
        <w:rPr>
          <w:rFonts w:ascii="標楷體" w:eastAsia="標楷體" w:hAnsi="標楷體" w:cs="Arial"/>
          <w:kern w:val="0"/>
          <w:sz w:val="22"/>
        </w:rPr>
        <w:t>針對「新修正勞動基準法」有任何疑問，請洽本局勞動基準科</w:t>
      </w:r>
      <w:r w:rsidRPr="00D047B5">
        <w:rPr>
          <w:rFonts w:ascii="標楷體" w:eastAsia="標楷體" w:hAnsi="標楷體" w:cs="Arial"/>
          <w:kern w:val="0"/>
          <w:sz w:val="22"/>
        </w:rPr>
        <w:br/>
      </w:r>
      <w:r w:rsidRPr="001150C3">
        <w:rPr>
          <w:rFonts w:ascii="標楷體" w:eastAsia="標楷體" w:hAnsi="標楷體" w:cs="Arial"/>
          <w:kern w:val="0"/>
          <w:sz w:val="22"/>
        </w:rPr>
        <w:t xml:space="preserve">  </w:t>
      </w:r>
      <w:r w:rsidRPr="00D047B5">
        <w:rPr>
          <w:rFonts w:ascii="標楷體" w:eastAsia="標楷體" w:hAnsi="標楷體" w:cs="Arial"/>
          <w:kern w:val="0"/>
          <w:sz w:val="22"/>
        </w:rPr>
        <w:t>電話：市民熱線1999 (外縣市02-2720-8889)轉分機3325、3327、3349、7015-7018 </w:t>
      </w:r>
    </w:p>
    <w:p w:rsidR="00D047B5" w:rsidRDefault="00D047B5" w:rsidP="00D047B5">
      <w:pPr>
        <w:widowControl/>
        <w:numPr>
          <w:ilvl w:val="0"/>
          <w:numId w:val="21"/>
        </w:numPr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D047B5">
        <w:rPr>
          <w:rFonts w:ascii="標楷體" w:eastAsia="標楷體" w:hAnsi="標楷體" w:cs="Arial"/>
          <w:kern w:val="0"/>
          <w:szCs w:val="24"/>
        </w:rPr>
        <w:t>資料維護：臺北市政府勞動局</w:t>
      </w:r>
    </w:p>
    <w:p w:rsidR="0063497A" w:rsidRPr="001150C3" w:rsidRDefault="00857E72" w:rsidP="00D047B5">
      <w:pPr>
        <w:widowControl/>
        <w:numPr>
          <w:ilvl w:val="0"/>
          <w:numId w:val="21"/>
        </w:numPr>
        <w:spacing w:line="320" w:lineRule="exact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台灣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世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曦工程顧問股份有限公司企業工會轉載</w:t>
      </w:r>
    </w:p>
    <w:sectPr w:rsidR="0063497A" w:rsidRPr="001150C3" w:rsidSect="001150C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721"/>
    <w:multiLevelType w:val="multilevel"/>
    <w:tmpl w:val="45A6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37E79"/>
    <w:multiLevelType w:val="multilevel"/>
    <w:tmpl w:val="56A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316E"/>
    <w:multiLevelType w:val="multilevel"/>
    <w:tmpl w:val="1AD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B757E"/>
    <w:multiLevelType w:val="multilevel"/>
    <w:tmpl w:val="64A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17881"/>
    <w:multiLevelType w:val="multilevel"/>
    <w:tmpl w:val="995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C2B77"/>
    <w:multiLevelType w:val="multilevel"/>
    <w:tmpl w:val="443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77024"/>
    <w:multiLevelType w:val="multilevel"/>
    <w:tmpl w:val="DDC4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5260D"/>
    <w:multiLevelType w:val="multilevel"/>
    <w:tmpl w:val="E26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2697A"/>
    <w:multiLevelType w:val="multilevel"/>
    <w:tmpl w:val="8B84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8392E"/>
    <w:multiLevelType w:val="multilevel"/>
    <w:tmpl w:val="CDA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87F74"/>
    <w:multiLevelType w:val="multilevel"/>
    <w:tmpl w:val="D37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06DD4"/>
    <w:multiLevelType w:val="multilevel"/>
    <w:tmpl w:val="524C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86A66"/>
    <w:multiLevelType w:val="multilevel"/>
    <w:tmpl w:val="3DF0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82092"/>
    <w:multiLevelType w:val="multilevel"/>
    <w:tmpl w:val="80A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E33E1"/>
    <w:multiLevelType w:val="multilevel"/>
    <w:tmpl w:val="D32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D046A"/>
    <w:multiLevelType w:val="multilevel"/>
    <w:tmpl w:val="015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A45F3"/>
    <w:multiLevelType w:val="multilevel"/>
    <w:tmpl w:val="9A94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8377F"/>
    <w:multiLevelType w:val="multilevel"/>
    <w:tmpl w:val="86D0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A67680"/>
    <w:multiLevelType w:val="multilevel"/>
    <w:tmpl w:val="AAC6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9F684F"/>
    <w:multiLevelType w:val="multilevel"/>
    <w:tmpl w:val="BE3E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829AB"/>
    <w:multiLevelType w:val="multilevel"/>
    <w:tmpl w:val="871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3"/>
    <w:lvlOverride w:ilvl="0">
      <w:startOverride w:val="2"/>
    </w:lvlOverride>
  </w:num>
  <w:num w:numId="8">
    <w:abstractNumId w:val="3"/>
  </w:num>
  <w:num w:numId="9">
    <w:abstractNumId w:val="18"/>
  </w:num>
  <w:num w:numId="10">
    <w:abstractNumId w:val="19"/>
  </w:num>
  <w:num w:numId="11">
    <w:abstractNumId w:val="10"/>
  </w:num>
  <w:num w:numId="12">
    <w:abstractNumId w:val="14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2"/>
    </w:lvlOverride>
  </w:num>
  <w:num w:numId="17">
    <w:abstractNumId w:val="15"/>
  </w:num>
  <w:num w:numId="18">
    <w:abstractNumId w:val="17"/>
  </w:num>
  <w:num w:numId="19">
    <w:abstractNumId w:val="2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B5"/>
    <w:rsid w:val="001150C3"/>
    <w:rsid w:val="0063497A"/>
    <w:rsid w:val="00857E72"/>
    <w:rsid w:val="00D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14A1"/>
  <w15:chartTrackingRefBased/>
  <w15:docId w15:val="{E3C77CAB-C467-4D79-AD5C-CF453E2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4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0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14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9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24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61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95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06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3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31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024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935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314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1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107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611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9723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1018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268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2646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46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189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646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407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1037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6479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8606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1680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39881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5861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58297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72372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9327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062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652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81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60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702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434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122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0268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95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88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387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540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3697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66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127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641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810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618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458642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5761736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9347636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318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2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10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20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293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069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609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cond.mol.gov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C5F3-C972-4B29-AB28-F1034498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2018-03-13T02:10:00Z</dcterms:created>
  <dcterms:modified xsi:type="dcterms:W3CDTF">2018-03-13T02:23:00Z</dcterms:modified>
</cp:coreProperties>
</file>